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7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15"/>
        <w:gridCol w:w="2171"/>
        <w:gridCol w:w="10609"/>
      </w:tblGrid>
      <w:tr w14:paraId="19A3C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blHeader/>
          <w:jc w:val="center"/>
        </w:trPr>
        <w:tc>
          <w:tcPr>
            <w:tcW w:w="5000" w:type="pct"/>
            <w:gridSpan w:val="3"/>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20C8A407">
            <w:pPr>
              <w:keepNext/>
              <w:keepLines w:val="0"/>
              <w:widowControl/>
              <w:suppressLineNumbers w:val="0"/>
              <w:tabs>
                <w:tab w:val="left" w:pos="4972"/>
              </w:tabs>
              <w:snapToGrid w:val="0"/>
              <w:spacing w:line="240" w:lineRule="auto"/>
              <w:ind w:left="0" w:leftChars="0" w:right="0" w:rightChars="0" w:firstLine="0" w:firstLineChars="0"/>
              <w:jc w:val="center"/>
              <w:textAlignment w:val="center"/>
              <w:rPr>
                <w:rFonts w:hint="eastAsia" w:ascii="宋体" w:hAnsi="宋体" w:eastAsia="宋体" w:cs="宋体"/>
                <w:b/>
                <w:i w:val="0"/>
                <w:iCs w:val="0"/>
                <w:color w:val="000000"/>
                <w:kern w:val="0"/>
                <w:sz w:val="28"/>
                <w:szCs w:val="28"/>
                <w:u w:val="none"/>
                <w:lang w:val="en-US" w:eastAsia="zh-CN" w:bidi="ar"/>
              </w:rPr>
            </w:pPr>
            <w:bookmarkStart w:id="0" w:name="_GoBack"/>
            <w:r>
              <w:rPr>
                <w:rFonts w:hint="eastAsia" w:cs="宋体"/>
                <w:b/>
                <w:i w:val="0"/>
                <w:iCs w:val="0"/>
                <w:color w:val="000000"/>
                <w:kern w:val="0"/>
                <w:sz w:val="28"/>
                <w:szCs w:val="28"/>
                <w:u w:val="none"/>
                <w:lang w:val="en-US" w:eastAsia="zh-CN" w:bidi="ar"/>
              </w:rPr>
              <w:t>湖北经济学院2025年度学生会工作考核自评表</w:t>
            </w:r>
            <w:bookmarkEnd w:id="0"/>
          </w:p>
        </w:tc>
      </w:tr>
      <w:tr w14:paraId="3493D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561"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2CC98282">
            <w:pPr>
              <w:keepNext/>
              <w:keepLines w:val="0"/>
              <w:widowControl/>
              <w:suppressLineNumbers w:val="0"/>
              <w:snapToGrid w:val="0"/>
              <w:spacing w:line="240" w:lineRule="auto"/>
              <w:ind w:left="0" w:leftChars="0" w:right="0" w:rightChars="0" w:firstLine="0" w:firstLineChars="0"/>
              <w:jc w:val="center"/>
              <w:textAlignment w:val="center"/>
              <w:rPr>
                <w:rFonts w:hint="eastAsia" w:ascii="宋体" w:hAnsi="宋体" w:eastAsia="宋体" w:cs="宋体"/>
                <w:b/>
                <w:i w:val="0"/>
                <w:iCs w:val="0"/>
                <w:color w:val="000000"/>
                <w:sz w:val="28"/>
                <w:szCs w:val="28"/>
                <w:u w:val="none"/>
              </w:rPr>
            </w:pPr>
            <w:r>
              <w:rPr>
                <w:rFonts w:hint="eastAsia" w:ascii="宋体" w:hAnsi="宋体" w:eastAsia="宋体" w:cs="宋体"/>
                <w:b/>
                <w:i w:val="0"/>
                <w:iCs w:val="0"/>
                <w:color w:val="000000"/>
                <w:kern w:val="0"/>
                <w:sz w:val="28"/>
                <w:szCs w:val="28"/>
                <w:u w:val="none"/>
                <w:lang w:val="en-US" w:eastAsia="zh-CN" w:bidi="ar"/>
              </w:rPr>
              <w:t>一级指标</w:t>
            </w: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5BABAD54">
            <w:pPr>
              <w:keepNext/>
              <w:keepLines w:val="0"/>
              <w:widowControl/>
              <w:suppressLineNumbers w:val="0"/>
              <w:snapToGrid w:val="0"/>
              <w:spacing w:line="240" w:lineRule="auto"/>
              <w:ind w:left="0" w:leftChars="0" w:right="0" w:rightChars="0" w:firstLine="0" w:firstLineChars="0"/>
              <w:jc w:val="center"/>
              <w:textAlignment w:val="center"/>
              <w:rPr>
                <w:rFonts w:hint="eastAsia" w:ascii="宋体" w:hAnsi="宋体" w:eastAsia="宋体" w:cs="宋体"/>
                <w:b/>
                <w:i w:val="0"/>
                <w:iCs w:val="0"/>
                <w:color w:val="000000"/>
                <w:sz w:val="28"/>
                <w:szCs w:val="28"/>
                <w:u w:val="none"/>
              </w:rPr>
            </w:pPr>
            <w:r>
              <w:rPr>
                <w:rFonts w:hint="eastAsia" w:ascii="宋体" w:hAnsi="宋体" w:eastAsia="宋体" w:cs="宋体"/>
                <w:b/>
                <w:i w:val="0"/>
                <w:iCs w:val="0"/>
                <w:color w:val="000000"/>
                <w:kern w:val="0"/>
                <w:sz w:val="28"/>
                <w:szCs w:val="28"/>
                <w:u w:val="none"/>
                <w:lang w:val="en-US" w:eastAsia="zh-CN" w:bidi="ar"/>
              </w:rPr>
              <w:t>二级指标</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70455F1A">
            <w:pPr>
              <w:keepNext/>
              <w:keepLines w:val="0"/>
              <w:widowControl/>
              <w:suppressLineNumbers w:val="0"/>
              <w:snapToGrid w:val="0"/>
              <w:spacing w:line="240" w:lineRule="auto"/>
              <w:ind w:left="0" w:leftChars="0" w:right="0" w:rightChars="0" w:firstLine="0" w:firstLineChars="0"/>
              <w:jc w:val="center"/>
              <w:textAlignment w:val="center"/>
              <w:rPr>
                <w:rFonts w:hint="eastAsia" w:ascii="宋体" w:hAnsi="宋体" w:eastAsia="宋体" w:cs="宋体"/>
                <w:b/>
                <w:i w:val="0"/>
                <w:iCs w:val="0"/>
                <w:color w:val="000000"/>
                <w:sz w:val="28"/>
                <w:szCs w:val="28"/>
                <w:u w:val="none"/>
              </w:rPr>
            </w:pPr>
            <w:r>
              <w:rPr>
                <w:rFonts w:hint="eastAsia" w:ascii="宋体" w:hAnsi="宋体" w:eastAsia="宋体" w:cs="宋体"/>
                <w:b/>
                <w:i w:val="0"/>
                <w:iCs w:val="0"/>
                <w:color w:val="000000"/>
                <w:kern w:val="0"/>
                <w:sz w:val="28"/>
                <w:szCs w:val="28"/>
                <w:u w:val="none"/>
                <w:lang w:val="en-US" w:eastAsia="zh-CN" w:bidi="ar"/>
              </w:rPr>
              <w:t>量化考评细则</w:t>
            </w:r>
          </w:p>
        </w:tc>
      </w:tr>
      <w:tr w14:paraId="41C6A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restar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0B824AFA">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lang w:val="en-US" w:eastAsia="zh-CN" w:bidi="ar"/>
              </w:rPr>
              <w:t>1.</w:t>
            </w:r>
            <w:r>
              <w:rPr>
                <w:rFonts w:hint="eastAsia" w:ascii="方正仿宋_GB18030" w:hAnsi="方正仿宋_GB18030" w:eastAsia="方正仿宋_GB18030" w:cs="方正仿宋_GB18030"/>
                <w:i w:val="0"/>
                <w:iCs w:val="0"/>
                <w:color w:val="000000"/>
                <w:kern w:val="0"/>
                <w:sz w:val="22"/>
                <w:szCs w:val="22"/>
                <w:u w:val="none"/>
                <w:lang w:val="en-US" w:eastAsia="zh-CN" w:bidi="ar"/>
              </w:rPr>
              <w:t>思想建设</w:t>
            </w:r>
          </w:p>
          <w:p w14:paraId="0ADB9BE1">
            <w:pPr>
              <w:keepNext/>
              <w:keepLines w:val="0"/>
              <w:widowControl/>
              <w:numPr>
                <w:ilvl w:val="0"/>
                <w:numId w:val="0"/>
              </w:numPr>
              <w:suppressLineNumbers w:val="0"/>
              <w:snapToGrid w:val="0"/>
              <w:spacing w:line="240" w:lineRule="auto"/>
              <w:ind w:right="0" w:rightChars="0"/>
              <w:jc w:val="center"/>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（16分）</w:t>
            </w: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51A147AD">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kern w:val="0"/>
                <w:sz w:val="22"/>
                <w:szCs w:val="22"/>
                <w:lang w:val="en-US" w:eastAsia="zh-CN" w:bidi="ar"/>
              </w:rPr>
            </w:pPr>
            <w:r>
              <w:rPr>
                <w:rFonts w:hint="eastAsia" w:ascii="方正仿宋_GB18030" w:hAnsi="方正仿宋_GB18030" w:eastAsia="方正仿宋_GB18030" w:cs="方正仿宋_GB18030"/>
                <w:i w:val="0"/>
                <w:iCs w:val="0"/>
                <w:color w:val="000000"/>
                <w:kern w:val="0"/>
                <w:sz w:val="22"/>
                <w:szCs w:val="22"/>
                <w:lang w:val="en-US" w:eastAsia="zh-CN" w:bidi="ar"/>
              </w:rPr>
              <w:t>1-1.组织内部思想建设（8分）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70DCA3E4">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生会内部定期开展理论学习，深入学习贯彻党的二十届四中全会精神、习近平新时代中国特色社会主义思想以及全国学联第二十八次代表大会精神。通过校园宣讲、座谈报告等形式积极开展思想教育学习。（2分/次，最高8分）</w:t>
            </w:r>
          </w:p>
        </w:tc>
      </w:tr>
      <w:tr w14:paraId="4DFF0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continue"/>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266E33E8">
            <w:pPr>
              <w:keepNext/>
              <w:snapToGrid w:val="0"/>
              <w:ind w:left="0" w:leftChars="0" w:right="0" w:rightChars="0" w:firstLine="0" w:firstLineChars="0"/>
              <w:jc w:val="center"/>
              <w:rPr>
                <w:rFonts w:hint="eastAsia" w:ascii="方正仿宋_GB18030" w:hAnsi="方正仿宋_GB18030" w:eastAsia="方正仿宋_GB18030" w:cs="方正仿宋_GB18030"/>
                <w:i w:val="0"/>
                <w:iCs w:val="0"/>
                <w:color w:val="000000"/>
                <w:sz w:val="22"/>
                <w:szCs w:val="22"/>
                <w:u w:val="none"/>
              </w:rPr>
            </w:pP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36BB4B3C">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kern w:val="0"/>
                <w:sz w:val="22"/>
                <w:szCs w:val="22"/>
                <w:lang w:val="en-US" w:eastAsia="zh-CN" w:bidi="ar"/>
              </w:rPr>
            </w:pPr>
            <w:r>
              <w:rPr>
                <w:rFonts w:hint="eastAsia" w:ascii="方正仿宋_GB18030" w:hAnsi="方正仿宋_GB18030" w:eastAsia="方正仿宋_GB18030" w:cs="方正仿宋_GB18030"/>
                <w:i w:val="0"/>
                <w:iCs w:val="0"/>
                <w:color w:val="000000"/>
                <w:kern w:val="0"/>
                <w:sz w:val="22"/>
                <w:szCs w:val="22"/>
                <w:lang w:val="en-US" w:eastAsia="zh-CN" w:bidi="ar"/>
              </w:rPr>
              <w:t>1-2.宣传共建（8分）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42F3E042">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学生会组织各班级开展政治理论联学活动，充分利用社交媒体平台进行宣传报道，营造良好学习氛围，引领同学践行社会主义核心价值观，共同学习党的政治理论。（2分/次，最高8分）</w:t>
            </w:r>
          </w:p>
        </w:tc>
      </w:tr>
      <w:tr w14:paraId="02579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restar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16C56357">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lang w:val="en-US" w:eastAsia="zh-CN" w:bidi="ar"/>
              </w:rPr>
              <w:t>2.</w:t>
            </w:r>
            <w:r>
              <w:rPr>
                <w:rFonts w:hint="eastAsia" w:ascii="方正仿宋_GB18030" w:hAnsi="方正仿宋_GB18030" w:eastAsia="方正仿宋_GB18030" w:cs="方正仿宋_GB18030"/>
                <w:i w:val="0"/>
                <w:iCs w:val="0"/>
                <w:color w:val="000000"/>
                <w:kern w:val="0"/>
                <w:sz w:val="22"/>
                <w:szCs w:val="22"/>
                <w:u w:val="none"/>
                <w:lang w:val="en-US" w:eastAsia="zh-CN" w:bidi="ar"/>
              </w:rPr>
              <w:t>组织建设</w:t>
            </w:r>
          </w:p>
          <w:p w14:paraId="4EE1A2F8">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（24分）</w:t>
            </w: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168A3AB2">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kern w:val="0"/>
                <w:sz w:val="22"/>
                <w:szCs w:val="22"/>
                <w:lang w:val="en-US" w:eastAsia="zh-CN" w:bidi="ar"/>
              </w:rPr>
            </w:pPr>
            <w:r>
              <w:rPr>
                <w:rFonts w:hint="eastAsia" w:ascii="方正仿宋_GB18030" w:hAnsi="方正仿宋_GB18030" w:eastAsia="方正仿宋_GB18030" w:cs="方正仿宋_GB18030"/>
                <w:i w:val="0"/>
                <w:iCs w:val="0"/>
                <w:color w:val="000000"/>
                <w:kern w:val="0"/>
                <w:sz w:val="22"/>
                <w:szCs w:val="22"/>
                <w:lang w:val="en-US" w:eastAsia="zh-CN" w:bidi="ar"/>
              </w:rPr>
              <w:t>2-1.组织体系建设（3分）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2E8304E4">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学生会章程、各项规章制度健全，量化考核细则科学合理，档案管理规范，学生会成员严格遵守校规校纪，无违纪违法行为。（3分）</w:t>
            </w:r>
          </w:p>
        </w:tc>
      </w:tr>
      <w:tr w14:paraId="59CBA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continue"/>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48C870DC">
            <w:pPr>
              <w:keepNext/>
              <w:snapToGrid w:val="0"/>
              <w:ind w:left="0" w:leftChars="0" w:right="0" w:rightChars="0" w:firstLine="0" w:firstLineChars="0"/>
              <w:jc w:val="left"/>
              <w:rPr>
                <w:rFonts w:hint="eastAsia" w:ascii="方正仿宋_GB18030" w:hAnsi="方正仿宋_GB18030" w:eastAsia="方正仿宋_GB18030" w:cs="方正仿宋_GB18030"/>
                <w:i w:val="0"/>
                <w:iCs w:val="0"/>
                <w:color w:val="000000"/>
                <w:sz w:val="22"/>
                <w:szCs w:val="22"/>
                <w:u w:val="none"/>
              </w:rPr>
            </w:pP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66E40A8A">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kern w:val="0"/>
                <w:sz w:val="22"/>
                <w:szCs w:val="22"/>
                <w:lang w:val="en-US" w:eastAsia="zh-CN" w:bidi="ar"/>
              </w:rPr>
            </w:pPr>
            <w:r>
              <w:rPr>
                <w:rFonts w:hint="eastAsia" w:ascii="方正仿宋_GB18030" w:hAnsi="方正仿宋_GB18030" w:eastAsia="方正仿宋_GB18030" w:cs="方正仿宋_GB18030"/>
                <w:i w:val="0"/>
                <w:iCs w:val="0"/>
                <w:color w:val="000000"/>
                <w:kern w:val="0"/>
                <w:sz w:val="22"/>
                <w:szCs w:val="22"/>
                <w:lang w:val="en-US" w:eastAsia="zh-CN" w:bidi="ar"/>
              </w:rPr>
              <w:t>2-2.深化学生会改革（16分）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0B9BB021">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坚持精干高效原则，依照全国学联《关于推动高校学生会（研究生会）深化改革的若干意见》优化组织架构及职能。学生会成员不超过30人，主席团成员不超过3人；实行主席团轮值制度，设置执行主席，由主席团成员轮流担任。（3分）</w:t>
            </w:r>
          </w:p>
          <w:p w14:paraId="2F5F0D65">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严格规定学生会成员的政治条件、学业标准，把好政治关、学业关、能力关、作风关、群众关，全体学生会成员无挂科。（5分）</w:t>
            </w:r>
          </w:p>
          <w:p w14:paraId="39E31465">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实行学生代表大会制度，会议召开周期为一年；大会章程送校学生会审批并得到批复，邀请校学生会主席团成员参加；大会秉持公平公正公开原则，明确代表产生程序与条件，公示选举结果并上报。（4分）</w:t>
            </w:r>
          </w:p>
          <w:p w14:paraId="4E832F31">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学院代表和学生会常任代表按时参加校级学代会，及时提交相关材料。（2分）</w:t>
            </w:r>
          </w:p>
          <w:p w14:paraId="2541797F">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学院学生会主席主动参与校级学代会。（2分，无一位执行主席参与则该项扣2分）</w:t>
            </w:r>
          </w:p>
        </w:tc>
      </w:tr>
      <w:tr w14:paraId="240C4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continue"/>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2E4D6E53">
            <w:pPr>
              <w:keepNext/>
              <w:snapToGrid w:val="0"/>
              <w:ind w:left="0" w:leftChars="0" w:right="0" w:rightChars="0" w:firstLine="0" w:firstLineChars="0"/>
              <w:jc w:val="left"/>
              <w:rPr>
                <w:rFonts w:hint="eastAsia" w:ascii="方正仿宋_GB18030" w:hAnsi="方正仿宋_GB18030" w:eastAsia="方正仿宋_GB18030" w:cs="方正仿宋_GB18030"/>
                <w:i w:val="0"/>
                <w:iCs w:val="0"/>
                <w:color w:val="000000"/>
                <w:sz w:val="22"/>
                <w:szCs w:val="22"/>
                <w:u w:val="none"/>
              </w:rPr>
            </w:pP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1E9021DA">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kern w:val="0"/>
                <w:sz w:val="22"/>
                <w:szCs w:val="22"/>
                <w:lang w:val="en-US" w:eastAsia="zh-CN" w:bidi="ar"/>
              </w:rPr>
            </w:pPr>
            <w:r>
              <w:rPr>
                <w:rFonts w:hint="eastAsia" w:ascii="方正仿宋_GB18030" w:hAnsi="方正仿宋_GB18030" w:eastAsia="方正仿宋_GB18030" w:cs="方正仿宋_GB18030"/>
                <w:i w:val="0"/>
                <w:iCs w:val="0"/>
                <w:color w:val="000000"/>
                <w:kern w:val="0"/>
                <w:sz w:val="22"/>
                <w:szCs w:val="22"/>
                <w:lang w:val="en-US" w:eastAsia="zh-CN" w:bidi="ar"/>
              </w:rPr>
              <w:t>2-3.培训与指导（5分）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4B4A466E">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学生会定期组织成员进行业务技能培训，提升工作能力和服务水平。（1分/次，最高5分）</w:t>
            </w:r>
          </w:p>
        </w:tc>
      </w:tr>
      <w:tr w14:paraId="50C2A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restar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20250A44">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lang w:val="en-US" w:eastAsia="zh-CN" w:bidi="ar"/>
              </w:rPr>
              <w:t>3.我为同学做实事（50分）</w:t>
            </w: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71F3E84D">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3-1.学风建设活动（12分）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177EA212">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学生会积极开展学风建设主题班会、辅导讲座等活动，需符合学院特色、满足学生需求，形式多样、效果显著，吸引学生广泛参与。每次活动需配有策划方案、总结报告和活动照片。（2分/次，最高12分）</w:t>
            </w:r>
          </w:p>
        </w:tc>
      </w:tr>
      <w:tr w14:paraId="48F84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continue"/>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335FBFB3">
            <w:pPr>
              <w:keepNext/>
              <w:snapToGrid w:val="0"/>
              <w:ind w:left="0" w:leftChars="0" w:right="0" w:rightChars="0" w:firstLine="0" w:firstLineChars="0"/>
              <w:jc w:val="left"/>
              <w:rPr>
                <w:rFonts w:hint="eastAsia" w:ascii="方正仿宋_GB18030" w:hAnsi="方正仿宋_GB18030" w:eastAsia="方正仿宋_GB18030" w:cs="方正仿宋_GB18030"/>
                <w:i w:val="0"/>
                <w:iCs w:val="0"/>
                <w:color w:val="000000"/>
                <w:sz w:val="22"/>
                <w:szCs w:val="22"/>
                <w:u w:val="none"/>
              </w:rPr>
            </w:pP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582F0C73">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3-2.校园文化活动（14分）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179E7A08">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生会积极开展群众性体育活动，推进文明校园建设；举办多样化的校园文化活动，弘扬中华优秀传统文化、革命文化和社会主义先进文化，提升学生文化素养，增强文化自信，每次活动需配有新闻报道。（2分/次，最高8分）</w:t>
            </w:r>
          </w:p>
          <w:p w14:paraId="59B927E8">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积极组织学院学生参与校级文体活动，配合校学生会开展相关工作，及时传达通知、反馈参与情况。（3分/次，最高6分）</w:t>
            </w:r>
          </w:p>
        </w:tc>
      </w:tr>
      <w:tr w14:paraId="67576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continue"/>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7366ECE8">
            <w:pPr>
              <w:keepNext/>
              <w:snapToGrid w:val="0"/>
              <w:ind w:left="0" w:leftChars="0" w:right="0" w:rightChars="0" w:firstLine="0" w:firstLineChars="0"/>
              <w:jc w:val="left"/>
              <w:rPr>
                <w:rFonts w:hint="eastAsia" w:ascii="方正仿宋_GB18030" w:hAnsi="方正仿宋_GB18030" w:eastAsia="方正仿宋_GB18030" w:cs="方正仿宋_GB18030"/>
                <w:i w:val="0"/>
                <w:iCs w:val="0"/>
                <w:color w:val="000000"/>
                <w:sz w:val="22"/>
                <w:szCs w:val="22"/>
                <w:u w:val="none"/>
              </w:rPr>
            </w:pP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2EAF082C">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3-3.学生权益服务（12分）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779040BE">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学生会积极组织学生开展维权活动，定期举办学生维权座谈会，宣传维权知识，提高学生维权意识。（3分）</w:t>
            </w:r>
          </w:p>
          <w:p w14:paraId="3915EA61">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配合校学生会权益服务部开展失物招领等工作，积极转发相关信息。（3分）</w:t>
            </w:r>
          </w:p>
          <w:p w14:paraId="5A3A0CB1">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建立常态化意见收集与反馈机制，积极</w:t>
            </w:r>
            <w:r>
              <w:rPr>
                <w:rFonts w:hint="eastAsia" w:ascii="方正仿宋_GB18030" w:hAnsi="方正仿宋_GB18030" w:eastAsia="方正仿宋_GB18030" w:cs="方正仿宋_GB18030"/>
                <w:i w:val="0"/>
                <w:iCs w:val="0"/>
                <w:color w:val="000000"/>
                <w:kern w:val="0"/>
                <w:sz w:val="22"/>
                <w:szCs w:val="22"/>
                <w:highlight w:val="none"/>
                <w:u w:val="none"/>
                <w:lang w:val="en-US" w:eastAsia="zh-CN" w:bidi="ar"/>
              </w:rPr>
              <w:t>向校学生会反馈学校情况、学生意见建议等</w:t>
            </w:r>
            <w:r>
              <w:rPr>
                <w:rFonts w:hint="eastAsia" w:ascii="方正仿宋_GB18030" w:hAnsi="方正仿宋_GB18030" w:eastAsia="方正仿宋_GB18030" w:cs="方正仿宋_GB18030"/>
                <w:i w:val="0"/>
                <w:iCs w:val="0"/>
                <w:color w:val="000000"/>
                <w:kern w:val="0"/>
                <w:sz w:val="22"/>
                <w:szCs w:val="22"/>
                <w:u w:val="none"/>
                <w:lang w:val="en-US" w:eastAsia="zh-CN" w:bidi="ar"/>
              </w:rPr>
              <w:t>，协助改进和优化校园工作。（3分/次，最高6分）</w:t>
            </w:r>
          </w:p>
        </w:tc>
      </w:tr>
      <w:tr w14:paraId="693A1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vMerge w:val="continue"/>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51E230C0">
            <w:pPr>
              <w:keepNext/>
              <w:snapToGrid w:val="0"/>
              <w:ind w:left="0" w:leftChars="0" w:right="0" w:rightChars="0" w:firstLine="0" w:firstLineChars="0"/>
              <w:jc w:val="left"/>
              <w:rPr>
                <w:rFonts w:hint="eastAsia" w:ascii="方正仿宋_GB18030" w:hAnsi="方正仿宋_GB18030" w:eastAsia="方正仿宋_GB18030" w:cs="方正仿宋_GB18030"/>
                <w:i w:val="0"/>
                <w:iCs w:val="0"/>
                <w:color w:val="000000"/>
                <w:sz w:val="22"/>
                <w:szCs w:val="22"/>
                <w:u w:val="none"/>
              </w:rPr>
            </w:pPr>
          </w:p>
        </w:tc>
        <w:tc>
          <w:tcPr>
            <w:tcW w:w="754" w:type="pct"/>
            <w:tcBorders>
              <w:top w:val="single" w:color="000000" w:sz="4" w:space="0"/>
              <w:left w:val="single" w:color="000000" w:sz="4" w:space="0"/>
              <w:bottom w:val="nil"/>
              <w:right w:val="nil"/>
            </w:tcBorders>
            <w:shd w:val="clear" w:color="auto" w:fill="auto"/>
            <w:noWrap w:val="0"/>
            <w:tcMar>
              <w:top w:w="-1" w:type="dxa"/>
              <w:left w:w="-1" w:type="dxa"/>
              <w:bottom w:w="-1" w:type="dxa"/>
              <w:right w:w="-1" w:type="dxa"/>
            </w:tcMar>
            <w:vAlign w:val="center"/>
          </w:tcPr>
          <w:p w14:paraId="28633D12">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3-4.校院联动协作（12分）</w:t>
            </w:r>
          </w:p>
        </w:tc>
        <w:tc>
          <w:tcPr>
            <w:tcW w:w="3683" w:type="pct"/>
            <w:tcBorders>
              <w:top w:val="single" w:color="000000" w:sz="4" w:space="0"/>
              <w:left w:val="single" w:color="000000" w:sz="4" w:space="0"/>
              <w:bottom w:val="nil"/>
              <w:right w:val="single" w:color="000000" w:sz="4" w:space="0"/>
            </w:tcBorders>
            <w:shd w:val="clear" w:color="auto" w:fill="auto"/>
            <w:noWrap w:val="0"/>
            <w:tcMar>
              <w:top w:w="-1" w:type="dxa"/>
              <w:left w:w="-1" w:type="dxa"/>
              <w:bottom w:w="-1" w:type="dxa"/>
              <w:right w:w="-1" w:type="dxa"/>
            </w:tcMar>
            <w:vAlign w:val="center"/>
          </w:tcPr>
          <w:p w14:paraId="2A0CF344">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按要求积极参加校学生会组织的各类会议和活动。（2分）</w:t>
            </w:r>
          </w:p>
          <w:p w14:paraId="1E50DD03">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kern w:val="0"/>
                <w:sz w:val="22"/>
                <w:szCs w:val="22"/>
                <w:u w:val="none"/>
                <w:lang w:val="en-US" w:eastAsia="zh-CN" w:bidi="ar"/>
              </w:rPr>
            </w:pPr>
            <w:r>
              <w:rPr>
                <w:rFonts w:hint="eastAsia" w:ascii="方正仿宋_GB18030" w:hAnsi="方正仿宋_GB18030" w:eastAsia="方正仿宋_GB18030" w:cs="方正仿宋_GB18030"/>
                <w:i w:val="0"/>
                <w:iCs w:val="0"/>
                <w:color w:val="000000"/>
                <w:kern w:val="0"/>
                <w:sz w:val="22"/>
                <w:szCs w:val="22"/>
                <w:u w:val="none"/>
                <w:lang w:val="en-US" w:eastAsia="zh-CN" w:bidi="ar"/>
              </w:rPr>
              <w:t>主动邀请校学生会工作人员参加本院学生会重要会议和活动，促进校院两级学生会常态化联动交流。（2分）</w:t>
            </w:r>
          </w:p>
          <w:p w14:paraId="56C7DABA">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积极向校学生会输送优秀人才，推荐优秀学生干部担任校学生会部门负责人或主席团成员。（任部门负责人1分/人，任主席团成员2分/人，最高8分）</w:t>
            </w:r>
          </w:p>
        </w:tc>
      </w:tr>
      <w:tr w14:paraId="0D123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61" w:type="pct"/>
            <w:tcBorders>
              <w:top w:val="single" w:color="000000" w:sz="4" w:space="0"/>
              <w:left w:val="single" w:color="000000" w:sz="4" w:space="0"/>
              <w:bottom w:val="single" w:color="000000" w:sz="4" w:space="0"/>
              <w:right w:val="nil"/>
            </w:tcBorders>
            <w:shd w:val="clear" w:color="auto" w:fill="auto"/>
            <w:noWrap w:val="0"/>
            <w:tcMar>
              <w:top w:w="-1" w:type="dxa"/>
              <w:left w:w="-1" w:type="dxa"/>
              <w:bottom w:w="-1" w:type="dxa"/>
              <w:right w:w="-1" w:type="dxa"/>
            </w:tcMar>
            <w:vAlign w:val="center"/>
          </w:tcPr>
          <w:p w14:paraId="6B667DEB">
            <w:pPr>
              <w:keepNext/>
              <w:keepLines w:val="0"/>
              <w:widowControl/>
              <w:numPr>
                <w:ilvl w:val="0"/>
                <w:numId w:val="0"/>
              </w:numPr>
              <w:suppressLineNumbers w:val="0"/>
              <w:snapToGrid w:val="0"/>
              <w:spacing w:line="240" w:lineRule="auto"/>
              <w:ind w:left="0" w:leftChars="0" w:right="0" w:rightChars="0" w:firstLine="0" w:firstLineChars="0"/>
              <w:jc w:val="center"/>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lang w:val="en-US" w:eastAsia="zh-CN" w:bidi="ar"/>
              </w:rPr>
              <w:t>4.特色亮点（不超过10分）</w:t>
            </w:r>
          </w:p>
        </w:tc>
        <w:tc>
          <w:tcPr>
            <w:tcW w:w="754" w:type="pct"/>
            <w:tcBorders>
              <w:top w:val="single" w:color="000000" w:sz="4" w:space="0"/>
              <w:left w:val="single" w:color="000000" w:sz="4" w:space="0"/>
              <w:bottom w:val="single" w:color="000000" w:sz="4" w:space="0"/>
              <w:right w:val="nil"/>
            </w:tcBorders>
            <w:shd w:val="clear" w:color="auto" w:fill="auto"/>
            <w:noWrap w:val="0"/>
            <w:tcMar>
              <w:top w:w="-1" w:type="dxa"/>
              <w:left w:w="-1" w:type="dxa"/>
              <w:bottom w:w="-1" w:type="dxa"/>
              <w:right w:w="-1" w:type="dxa"/>
            </w:tcMar>
            <w:vAlign w:val="center"/>
          </w:tcPr>
          <w:p w14:paraId="406CC710">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4-1.加分项</w:t>
            </w:r>
          </w:p>
        </w:tc>
        <w:tc>
          <w:tcPr>
            <w:tcW w:w="3683" w:type="pct"/>
            <w:tcBorders>
              <w:top w:val="single" w:color="000000" w:sz="4" w:space="0"/>
              <w:left w:val="single" w:color="000000" w:sz="4" w:space="0"/>
              <w:bottom w:val="single" w:color="000000" w:sz="4" w:space="0"/>
              <w:right w:val="single" w:color="000000" w:sz="4" w:space="0"/>
            </w:tcBorders>
            <w:shd w:val="clear" w:color="auto" w:fill="auto"/>
            <w:noWrap w:val="0"/>
            <w:tcMar>
              <w:top w:w="-1" w:type="dxa"/>
              <w:left w:w="-1" w:type="dxa"/>
              <w:bottom w:w="-1" w:type="dxa"/>
              <w:right w:w="-1" w:type="dxa"/>
            </w:tcMar>
            <w:vAlign w:val="center"/>
          </w:tcPr>
          <w:p w14:paraId="28F51425">
            <w:pPr>
              <w:keepNext w:val="0"/>
              <w:keepLines w:val="0"/>
              <w:widowControl/>
              <w:suppressLineNumbers w:val="0"/>
              <w:snapToGrid w:val="0"/>
              <w:ind w:left="0" w:leftChars="0" w:firstLine="440" w:firstLineChars="200"/>
              <w:jc w:val="left"/>
              <w:textAlignment w:val="center"/>
              <w:rPr>
                <w:rFonts w:hint="eastAsia" w:ascii="方正仿宋_GB18030" w:hAnsi="方正仿宋_GB18030" w:eastAsia="方正仿宋_GB18030" w:cs="方正仿宋_GB18030"/>
                <w:i w:val="0"/>
                <w:iCs w:val="0"/>
                <w:color w:val="000000"/>
                <w:sz w:val="22"/>
                <w:szCs w:val="22"/>
                <w:u w:val="none"/>
              </w:rPr>
            </w:pPr>
            <w:r>
              <w:rPr>
                <w:rFonts w:hint="eastAsia" w:ascii="方正仿宋_GB18030" w:hAnsi="方正仿宋_GB18030" w:eastAsia="方正仿宋_GB18030" w:cs="方正仿宋_GB18030"/>
                <w:i w:val="0"/>
                <w:iCs w:val="0"/>
                <w:color w:val="000000"/>
                <w:kern w:val="0"/>
                <w:sz w:val="22"/>
                <w:szCs w:val="22"/>
                <w:u w:val="none"/>
                <w:lang w:val="en-US" w:eastAsia="zh-CN" w:bidi="ar"/>
              </w:rPr>
              <w:t>聚焦主责主业，打造具有鲜明特色、广泛影响力和较高认可度的品牌工作，具有独特的理念和方法。</w:t>
            </w:r>
          </w:p>
        </w:tc>
      </w:tr>
    </w:tbl>
    <w:p w14:paraId="18DA38A8"/>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6B23C045-660B-491A-9CEB-CDAEDE698F0F}"/>
  </w:font>
  <w:font w:name="方正仿宋_GB18030">
    <w:panose1 w:val="02000000000000000000"/>
    <w:charset w:val="86"/>
    <w:family w:val="auto"/>
    <w:pitch w:val="default"/>
    <w:sig w:usb0="00000001" w:usb1="08000000" w:usb2="00000000" w:usb3="00000000" w:csb0="00040000" w:csb1="00000000"/>
    <w:embedRegular r:id="rId2" w:fontKey="{6003E16D-7CE3-4D1C-9C0F-9A03DB329F9B}"/>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ind w:firstLine="560"/>
      </w:pPr>
      <w:r>
        <w:separator/>
      </w:r>
    </w:p>
  </w:footnote>
  <w:footnote w:type="continuationSeparator" w:id="1">
    <w:p>
      <w:pPr>
        <w:spacing w:before="0" w:after="0" w:line="288"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B066D0"/>
    <w:rsid w:val="7FB06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widowControl w:val="0"/>
      <w:numPr>
        <w:ilvl w:val="0"/>
        <w:numId w:val="0"/>
      </w:numPr>
      <w:kinsoku/>
      <w:wordWrap/>
      <w:overflowPunct/>
      <w:topLinePunct w:val="0"/>
      <w:autoSpaceDE/>
      <w:autoSpaceDN/>
      <w:bidi w:val="0"/>
      <w:adjustRightInd/>
      <w:snapToGrid/>
      <w:spacing w:before="0" w:after="0" w:line="288" w:lineRule="auto"/>
      <w:ind w:left="0" w:leftChars="0" w:firstLine="560" w:firstLineChars="200"/>
      <w:jc w:val="left"/>
      <w:textAlignment w:val="auto"/>
    </w:pPr>
    <w:rPr>
      <w:rFonts w:ascii="宋体" w:hAnsi="宋体" w:eastAsia="宋体" w:cs="宋体"/>
      <w:sz w:val="28"/>
      <w:szCs w:val="28"/>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2026-03-27T00:52:00Z</dcterms:created>
  <dc:creator>夏炼</dc:creator>
  <cp:lastModifiedBy>夏炼</cp:lastModifiedBy>
  <dcterms:modified xsi:type="dcterms:W3CDTF">2026-03-27T00:53:16Z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F7252492A18844DDA8DA15A804785734_11</vt:lpwstr>
  </property>
  <property fmtid="{D5CDD505-2E9C-101B-9397-08002B2CF9AE}" pid="4" name="KSOTemplateDocerSaveRecord">
    <vt:lpwstr>eyJoZGlkIjoiNzY3NmUyMzNkYjJmOTAzYzIwNDAzMGY5MTMyMTM0NDIiLCJ1c2VySWQiOiIyNzIzMzg4NSJ9</vt:lpwstr>
  </property>
</Properties>
</file>